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95" w:rsidRPr="00B938FC" w:rsidRDefault="00B938FC" w:rsidP="00B938FC">
      <w:pPr>
        <w:ind w:firstLine="709"/>
        <w:jc w:val="both"/>
        <w:rPr>
          <w:rFonts w:ascii="Times New Roman" w:hAnsi="Times New Roman" w:cs="Times New Roman"/>
          <w:sz w:val="28"/>
          <w:szCs w:val="28"/>
        </w:rPr>
      </w:pPr>
      <w:r w:rsidRPr="00B938FC">
        <w:rPr>
          <w:rFonts w:ascii="Times New Roman" w:hAnsi="Times New Roman" w:cs="Times New Roman"/>
          <w:sz w:val="28"/>
          <w:szCs w:val="28"/>
        </w:rPr>
        <w:t>Theo Điều 7 Nghị định 154/2024/NĐ-CP ngày 26/11/2024 quy định chi tiết một số điều và biện pháp thi hành Luật Cư trú, từ 10/1/2025, trong thời hạn tối đa 60 ngày, kể từ ngày người chưa thành niên được đăng ký khai sinh thì cha hoặc mẹ hoặc chủ hộ hoặc người giám hộ có trách nhiệm thực hiện thủ tục đăng ký thường trú, đăng ký tạm trú, khai báo thông tin về cư trú cho người chưa thành niên. Trường hợp cha, mẹ của người chưa thành niên có nơi thường trú nhưng không phải nơi đang thực tế sinh sống thì người chưa thành niên được đăng ký thường trú tại nơi thường trú của cha, mẹ</w:t>
      </w:r>
      <w:r>
        <w:rPr>
          <w:rFonts w:ascii="Times New Roman" w:hAnsi="Times New Roman" w:cs="Times New Roman"/>
          <w:sz w:val="28"/>
          <w:szCs w:val="28"/>
        </w:rPr>
        <w:t>.</w:t>
      </w:r>
      <w:bookmarkStart w:id="0" w:name="_GoBack"/>
      <w:bookmarkEnd w:id="0"/>
    </w:p>
    <w:sectPr w:rsidR="00924495" w:rsidRPr="00B93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DF"/>
    <w:rsid w:val="00924495"/>
    <w:rsid w:val="00B04CDF"/>
    <w:rsid w:val="00B9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2025-11-20T12:00:00Z</dcterms:created>
  <dcterms:modified xsi:type="dcterms:W3CDTF">2025-11-20T12:00:00Z</dcterms:modified>
</cp:coreProperties>
</file>